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2" w:rsidRDefault="00ED3C22">
      <w:pPr>
        <w:jc w:val="center"/>
        <w:rPr>
          <w:sz w:val="28"/>
          <w:szCs w:val="28"/>
        </w:rPr>
      </w:pP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наступлением весеннего период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Волгоград» сталкивается с проблемой самовольных подключений отопительных приборов к системе газоснабжения для отопления теплиц и парни</w:t>
      </w:r>
      <w:r>
        <w:rPr>
          <w:sz w:val="28"/>
          <w:szCs w:val="28"/>
        </w:rPr>
        <w:t>ков. Самовольное (кустарное) подключение создают угрозу взрыва и пожара, которые могут повлечь за собой человеческие жертвы и значительные материальные потери. Также в результате несанкционированного отбора газа падает давление в системе газоснабжения жилы</w:t>
      </w:r>
      <w:r>
        <w:rPr>
          <w:sz w:val="28"/>
          <w:szCs w:val="28"/>
        </w:rPr>
        <w:t>х домов населенного пункта, что отрицательно сказывается на работе газовых приборов добросовестных абонентов.</w:t>
      </w: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действующему законодательству нарушитель не только полностью оплачивает потребленный газ исходя из мощности оборудования при условии его</w:t>
      </w:r>
      <w:r>
        <w:rPr>
          <w:sz w:val="28"/>
          <w:szCs w:val="28"/>
        </w:rPr>
        <w:t xml:space="preserve"> круглосуточной работы, а в случае невозможности определить мощность несанкционированное подключение оборудования исходя из объема, определенного на основании норматива потребления соответствующих коммунальных услуг с применением к такому объему повышающег</w:t>
      </w:r>
      <w:r>
        <w:rPr>
          <w:sz w:val="28"/>
          <w:szCs w:val="28"/>
        </w:rPr>
        <w:t>о коэффициента 10, но и стоимость работ по устранению несанкционированного подключения к газораспределительной сети.</w:t>
      </w:r>
      <w:proofErr w:type="gramEnd"/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7.19. Кодекса Российской Федерации об административных правонарушениях от 30 декабря 2001 г. № 195-ФЗ за самовольное</w:t>
      </w:r>
      <w:r>
        <w:rPr>
          <w:sz w:val="28"/>
          <w:szCs w:val="28"/>
        </w:rPr>
        <w:t xml:space="preserve"> подключение к газовым сетям и самовольное использование газа для граждан штраф составляет от 10 до 15 тысяч рублей,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юридических лиц от 100 до 200 тысяч рублей, для должностных лиц от 30 до 80 тысяч рублей, либо дисквалификацию руководителя на срок от </w:t>
      </w:r>
      <w:r>
        <w:rPr>
          <w:sz w:val="28"/>
          <w:szCs w:val="28"/>
        </w:rPr>
        <w:t>1 года до 2 лет.</w:t>
      </w: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Помимо административной ответственности, самовольное подключение к системе газоснабжения — это основание для возбуждения уголовного дела по статье 158 УК РФ, результатом которого могут стать серьезные санкции: от штрафа свыше 100 тысяч ру</w:t>
      </w:r>
      <w:r>
        <w:rPr>
          <w:sz w:val="28"/>
          <w:szCs w:val="28"/>
        </w:rPr>
        <w:t>блей, до лишения свободы на срок до 6 лет.</w:t>
      </w:r>
    </w:p>
    <w:p w:rsidR="00ED3C22" w:rsidRDefault="00ED3C22">
      <w:pPr>
        <w:jc w:val="both"/>
        <w:rPr>
          <w:sz w:val="28"/>
          <w:szCs w:val="28"/>
        </w:rPr>
      </w:pPr>
    </w:p>
    <w:p w:rsidR="00ED3C22" w:rsidRDefault="00ED3C22">
      <w:pPr>
        <w:jc w:val="both"/>
        <w:rPr>
          <w:sz w:val="28"/>
          <w:szCs w:val="28"/>
        </w:rPr>
      </w:pP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вышеизложенным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Волгоград» просит вас проинформировать жителей поселений об ответственности за несанкционированное потребление газа, о недопущении самовольных подключений и не</w:t>
      </w:r>
      <w:r>
        <w:rPr>
          <w:sz w:val="28"/>
          <w:szCs w:val="28"/>
        </w:rPr>
        <w:t>обходимости соблюдения правил безопасности при использовании газа.</w:t>
      </w: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отопления теплиц с использованием газа на законных основаниях жителям, имеющим подсобное хозяйство, необходимо обратиться в абонентский отдел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ирновск, ул.Советская д.18 с соответств</w:t>
      </w:r>
      <w:r>
        <w:rPr>
          <w:sz w:val="28"/>
          <w:szCs w:val="28"/>
        </w:rPr>
        <w:t>ующих заявлением.</w:t>
      </w: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Одновременно, просим обеспечить участие представителей городских и сельских администраций, участкового сотрудника отдела внутренних дел в комиссии при проведении абонентским отделом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Волгоград» соответствующих пр</w:t>
      </w:r>
      <w:r>
        <w:rPr>
          <w:sz w:val="28"/>
          <w:szCs w:val="28"/>
        </w:rPr>
        <w:t>оверок.</w:t>
      </w:r>
    </w:p>
    <w:p w:rsidR="00ED3C22" w:rsidRDefault="00DC52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вопросу согласования участия в совместных проверках ответственным лицом со сторон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«Газпром </w:t>
      </w:r>
      <w:proofErr w:type="spellStart"/>
      <w:r>
        <w:rPr>
          <w:sz w:val="28"/>
          <w:szCs w:val="28"/>
        </w:rPr>
        <w:t>межрегионгах</w:t>
      </w:r>
      <w:proofErr w:type="spellEnd"/>
      <w:r>
        <w:rPr>
          <w:sz w:val="28"/>
          <w:szCs w:val="28"/>
        </w:rPr>
        <w:t xml:space="preserve"> Волгоград» </w:t>
      </w:r>
      <w:r>
        <w:rPr>
          <w:sz w:val="28"/>
          <w:szCs w:val="28"/>
        </w:rPr>
        <w:lastRenderedPageBreak/>
        <w:t>является руководитель абонентского отдела Левченко Ирина Юрьевна 8(84454)55959.</w:t>
      </w:r>
    </w:p>
    <w:p w:rsidR="00ED3C22" w:rsidRDefault="00ED3C22">
      <w:pPr>
        <w:jc w:val="both"/>
        <w:rPr>
          <w:sz w:val="28"/>
          <w:szCs w:val="28"/>
        </w:rPr>
      </w:pPr>
    </w:p>
    <w:p w:rsidR="00ED3C22" w:rsidRDefault="00ED3C22">
      <w:pPr>
        <w:jc w:val="both"/>
        <w:rPr>
          <w:sz w:val="28"/>
          <w:szCs w:val="28"/>
        </w:rPr>
      </w:pPr>
    </w:p>
    <w:p w:rsidR="00ED3C22" w:rsidRDefault="00ED3C22">
      <w:pPr>
        <w:tabs>
          <w:tab w:val="left" w:pos="990"/>
        </w:tabs>
        <w:rPr>
          <w:sz w:val="20"/>
          <w:szCs w:val="20"/>
        </w:rPr>
      </w:pPr>
    </w:p>
    <w:sectPr w:rsidR="00ED3C22" w:rsidSect="00ED3C22">
      <w:pgSz w:w="11906" w:h="16838"/>
      <w:pgMar w:top="113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3C22"/>
    <w:rsid w:val="0030264D"/>
    <w:rsid w:val="00DC5246"/>
    <w:rsid w:val="00E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833C0A"/>
    <w:pPr>
      <w:keepNext/>
      <w:outlineLvl w:val="0"/>
    </w:pPr>
    <w:rPr>
      <w:b/>
      <w:sz w:val="36"/>
      <w:szCs w:val="20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833C0A"/>
    <w:pPr>
      <w:keepNext/>
      <w:outlineLvl w:val="2"/>
    </w:pPr>
    <w:rPr>
      <w:b/>
      <w:sz w:val="12"/>
      <w:szCs w:val="20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833C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a0"/>
    <w:link w:val="Heading3"/>
    <w:uiPriority w:val="99"/>
    <w:qFormat/>
    <w:locked/>
    <w:rsid w:val="00833C0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833C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833C0A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E757C0"/>
    <w:rPr>
      <w:rFonts w:cs="Times New Roman"/>
      <w:color w:val="0000FF"/>
      <w:u w:val="single"/>
    </w:rPr>
  </w:style>
  <w:style w:type="character" w:customStyle="1" w:styleId="1">
    <w:name w:val="Заголовок №1_"/>
    <w:basedOn w:val="a0"/>
    <w:uiPriority w:val="99"/>
    <w:qFormat/>
    <w:locked/>
    <w:rsid w:val="00CE747F"/>
    <w:rPr>
      <w:rFonts w:cs="Times New Roman"/>
      <w:sz w:val="26"/>
      <w:szCs w:val="26"/>
      <w:shd w:val="clear" w:color="auto" w:fill="FFFFFF"/>
    </w:rPr>
  </w:style>
  <w:style w:type="paragraph" w:customStyle="1" w:styleId="a8">
    <w:name w:val="Заголовок"/>
    <w:basedOn w:val="a"/>
    <w:next w:val="a4"/>
    <w:qFormat/>
    <w:rsid w:val="00ED3C2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rsid w:val="00833C0A"/>
    <w:rPr>
      <w:szCs w:val="20"/>
    </w:rPr>
  </w:style>
  <w:style w:type="paragraph" w:styleId="a9">
    <w:name w:val="List"/>
    <w:basedOn w:val="a4"/>
    <w:rsid w:val="00ED3C22"/>
    <w:rPr>
      <w:rFonts w:cs="Arial Unicode MS"/>
    </w:rPr>
  </w:style>
  <w:style w:type="paragraph" w:customStyle="1" w:styleId="Caption">
    <w:name w:val="Caption"/>
    <w:basedOn w:val="a"/>
    <w:qFormat/>
    <w:rsid w:val="00ED3C22"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rsid w:val="00ED3C22"/>
    <w:pPr>
      <w:suppressLineNumbers/>
    </w:pPr>
    <w:rPr>
      <w:rFonts w:cs="Arial Unicode MS"/>
    </w:rPr>
  </w:style>
  <w:style w:type="paragraph" w:styleId="a6">
    <w:name w:val="Balloon Text"/>
    <w:basedOn w:val="a"/>
    <w:link w:val="a5"/>
    <w:uiPriority w:val="99"/>
    <w:semiHidden/>
    <w:qFormat/>
    <w:rsid w:val="00833C0A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uiPriority w:val="99"/>
    <w:qFormat/>
    <w:rsid w:val="00CE747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qFormat/>
    <w:rsid w:val="00CE747F"/>
    <w:pPr>
      <w:widowControl w:val="0"/>
    </w:pPr>
    <w:rPr>
      <w:rFonts w:ascii="Arial" w:eastAsia="Times New Roman" w:hAnsi="Arial" w:cs="Mangal"/>
      <w:kern w:val="2"/>
      <w:sz w:val="24"/>
      <w:szCs w:val="24"/>
      <w:lang w:eastAsia="zh-CN" w:bidi="hi-IN"/>
    </w:rPr>
  </w:style>
  <w:style w:type="paragraph" w:customStyle="1" w:styleId="10">
    <w:name w:val="Заголовок №1"/>
    <w:basedOn w:val="a"/>
    <w:uiPriority w:val="99"/>
    <w:qFormat/>
    <w:rsid w:val="00CE747F"/>
    <w:pPr>
      <w:shd w:val="clear" w:color="auto" w:fill="FFFFFF"/>
      <w:spacing w:after="1800" w:line="322" w:lineRule="exact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ac">
    <w:name w:val="Содержимое врезки"/>
    <w:basedOn w:val="a"/>
    <w:qFormat/>
    <w:rsid w:val="00ED3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406</Words>
  <Characters>2316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Налья</dc:creator>
  <dc:description/>
  <cp:lastModifiedBy>Екатерина</cp:lastModifiedBy>
  <cp:revision>61</cp:revision>
  <cp:lastPrinted>2023-04-07T16:24:00Z</cp:lastPrinted>
  <dcterms:created xsi:type="dcterms:W3CDTF">2011-03-14T12:43:00Z</dcterms:created>
  <dcterms:modified xsi:type="dcterms:W3CDTF">2023-04-17T11:14:00Z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